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1B570" w14:textId="34CC0179" w:rsidR="008E0598" w:rsidRDefault="00F8313F" w:rsidP="00CD6F54">
      <w:pPr>
        <w:pStyle w:val="Ttulo1"/>
        <w:jc w:val="both"/>
        <w:rPr>
          <w:rFonts w:ascii="Arial" w:hAnsi="Arial" w:cs="Arial"/>
          <w:color w:val="auto"/>
          <w:sz w:val="24"/>
          <w:szCs w:val="24"/>
        </w:rPr>
      </w:pPr>
      <w:r w:rsidRPr="00F8313F">
        <w:rPr>
          <w:rFonts w:ascii="Arial" w:hAnsi="Arial" w:cs="Arial"/>
          <w:color w:val="auto"/>
          <w:sz w:val="24"/>
          <w:szCs w:val="24"/>
        </w:rPr>
        <w:t>BASES DEL TORNEO</w:t>
      </w:r>
    </w:p>
    <w:p w14:paraId="6CDBC39F" w14:textId="77777777" w:rsidR="00CD6F54" w:rsidRPr="00CD6F54" w:rsidRDefault="00CD6F54" w:rsidP="00CD6F54">
      <w:pPr>
        <w:jc w:val="both"/>
      </w:pPr>
    </w:p>
    <w:p w14:paraId="01CA37C6" w14:textId="77777777" w:rsidR="008E0598" w:rsidRPr="00CD6F54" w:rsidRDefault="00F8313F" w:rsidP="00CD6F5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D6F54">
        <w:rPr>
          <w:rFonts w:ascii="Arial" w:hAnsi="Arial" w:cs="Arial"/>
          <w:b/>
          <w:bCs/>
          <w:sz w:val="28"/>
          <w:szCs w:val="28"/>
        </w:rPr>
        <w:t>XXII Campeonato de España Juvenil FEDC</w:t>
      </w:r>
      <w:r w:rsidRPr="00CD6F54">
        <w:rPr>
          <w:rFonts w:ascii="Arial" w:hAnsi="Arial" w:cs="Arial"/>
          <w:b/>
          <w:bCs/>
          <w:sz w:val="28"/>
          <w:szCs w:val="28"/>
        </w:rPr>
        <w:br/>
        <w:t>13–17 de julio de 2026 – CRE Madrid</w:t>
      </w:r>
    </w:p>
    <w:p w14:paraId="450CEFC9" w14:textId="77777777" w:rsidR="00CD6F54" w:rsidRPr="00F8313F" w:rsidRDefault="00CD6F54" w:rsidP="00CD6F54">
      <w:pPr>
        <w:jc w:val="both"/>
        <w:rPr>
          <w:rFonts w:ascii="Arial" w:hAnsi="Arial" w:cs="Arial"/>
          <w:sz w:val="24"/>
          <w:szCs w:val="24"/>
        </w:rPr>
      </w:pPr>
    </w:p>
    <w:p w14:paraId="45CA4F3E" w14:textId="77777777" w:rsidR="008E0598" w:rsidRPr="00F8313F" w:rsidRDefault="00F8313F" w:rsidP="00CD6F54">
      <w:pPr>
        <w:pStyle w:val="Ttulo2"/>
        <w:jc w:val="both"/>
        <w:rPr>
          <w:rFonts w:ascii="Arial" w:hAnsi="Arial" w:cs="Arial"/>
          <w:color w:val="auto"/>
          <w:sz w:val="24"/>
          <w:szCs w:val="24"/>
        </w:rPr>
      </w:pPr>
      <w:r w:rsidRPr="00F8313F">
        <w:rPr>
          <w:rFonts w:ascii="Arial" w:hAnsi="Arial" w:cs="Arial"/>
          <w:color w:val="auto"/>
          <w:sz w:val="24"/>
          <w:szCs w:val="24"/>
        </w:rPr>
        <w:t>1. Sistema de competición</w:t>
      </w:r>
    </w:p>
    <w:p w14:paraId="7D4ECCB9" w14:textId="77777777" w:rsidR="008E0598" w:rsidRPr="00F8313F" w:rsidRDefault="00F8313F" w:rsidP="00CD6F54">
      <w:pPr>
        <w:jc w:val="both"/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>El torneo se disputará por el sistema suizo a seis rondas, del 13 al 17 de julio en el Centro de Recursos Educativos ONCE (Madrid).</w:t>
      </w:r>
    </w:p>
    <w:p w14:paraId="5310C5D3" w14:textId="77777777" w:rsidR="008E0598" w:rsidRPr="00F8313F" w:rsidRDefault="00F8313F" w:rsidP="00CD6F54">
      <w:pPr>
        <w:pStyle w:val="Ttulo2"/>
        <w:jc w:val="both"/>
        <w:rPr>
          <w:rFonts w:ascii="Arial" w:hAnsi="Arial" w:cs="Arial"/>
          <w:color w:val="auto"/>
          <w:sz w:val="24"/>
          <w:szCs w:val="24"/>
        </w:rPr>
      </w:pPr>
      <w:r w:rsidRPr="00F8313F">
        <w:rPr>
          <w:rFonts w:ascii="Arial" w:hAnsi="Arial" w:cs="Arial"/>
          <w:color w:val="auto"/>
          <w:sz w:val="24"/>
          <w:szCs w:val="24"/>
        </w:rPr>
        <w:t>2. Ritmo de juego</w:t>
      </w:r>
    </w:p>
    <w:p w14:paraId="458209CB" w14:textId="77777777" w:rsidR="008E0598" w:rsidRPr="00F8313F" w:rsidRDefault="00F8313F" w:rsidP="00CD6F54">
      <w:pPr>
        <w:jc w:val="both"/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>90 minutos + 30 segundos de incremento por jugada, para cada jugador.</w:t>
      </w:r>
    </w:p>
    <w:p w14:paraId="28BE77EE" w14:textId="77777777" w:rsidR="008E0598" w:rsidRPr="00F8313F" w:rsidRDefault="00F8313F" w:rsidP="00CD6F54">
      <w:pPr>
        <w:pStyle w:val="Ttulo2"/>
        <w:jc w:val="both"/>
        <w:rPr>
          <w:rFonts w:ascii="Arial" w:hAnsi="Arial" w:cs="Arial"/>
          <w:color w:val="auto"/>
          <w:sz w:val="24"/>
          <w:szCs w:val="24"/>
        </w:rPr>
      </w:pPr>
      <w:r w:rsidRPr="00F8313F">
        <w:rPr>
          <w:rFonts w:ascii="Arial" w:hAnsi="Arial" w:cs="Arial"/>
          <w:color w:val="auto"/>
          <w:sz w:val="24"/>
          <w:szCs w:val="24"/>
        </w:rPr>
        <w:t>3. Horarios de juego</w:t>
      </w:r>
    </w:p>
    <w:p w14:paraId="2E0BAE5E" w14:textId="77777777" w:rsidR="008E0598" w:rsidRPr="00F8313F" w:rsidRDefault="00F8313F" w:rsidP="00CD6F54">
      <w:pPr>
        <w:jc w:val="both"/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>Las partidas se disputarán en horario de mañana y tarde (09:30 y 16:00 h), siguiendo el cronograma:</w:t>
      </w:r>
    </w:p>
    <w:p w14:paraId="112D1BE0" w14:textId="77777777" w:rsidR="008E0598" w:rsidRPr="00F8313F" w:rsidRDefault="00F8313F" w:rsidP="00CD6F54">
      <w:pPr>
        <w:jc w:val="both"/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>- Llegada y acreditación: 13 de julio, 18:00–20:00 h.</w:t>
      </w:r>
    </w:p>
    <w:p w14:paraId="0A931E0B" w14:textId="77777777" w:rsidR="008E0598" w:rsidRPr="00F8313F" w:rsidRDefault="00F8313F" w:rsidP="00CD6F54">
      <w:pPr>
        <w:jc w:val="both"/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>- Ronda 1: 14 de julio – 09:30 h</w:t>
      </w:r>
    </w:p>
    <w:p w14:paraId="48F45247" w14:textId="77777777" w:rsidR="008E0598" w:rsidRPr="00F8313F" w:rsidRDefault="00F8313F" w:rsidP="00CD6F54">
      <w:pPr>
        <w:jc w:val="both"/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>- Ronda 2: 14 de julio – 16:00 h</w:t>
      </w:r>
    </w:p>
    <w:p w14:paraId="6005562B" w14:textId="77777777" w:rsidR="008E0598" w:rsidRPr="00F8313F" w:rsidRDefault="00F8313F" w:rsidP="00CD6F54">
      <w:pPr>
        <w:jc w:val="both"/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>- Ronda 3: 15 de julio – 09:30 h</w:t>
      </w:r>
    </w:p>
    <w:p w14:paraId="47C78A6F" w14:textId="77777777" w:rsidR="008E0598" w:rsidRPr="00F8313F" w:rsidRDefault="00F8313F" w:rsidP="00CD6F54">
      <w:pPr>
        <w:jc w:val="both"/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>- Ronda 4: 16 de julio – 09:30 h</w:t>
      </w:r>
    </w:p>
    <w:p w14:paraId="4D16A3DB" w14:textId="77777777" w:rsidR="008E0598" w:rsidRPr="00F8313F" w:rsidRDefault="00F8313F" w:rsidP="00CD6F54">
      <w:pPr>
        <w:jc w:val="both"/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>- Ronda 5: 16 de julio – 16:00 h</w:t>
      </w:r>
    </w:p>
    <w:p w14:paraId="7898F919" w14:textId="77777777" w:rsidR="008E0598" w:rsidRPr="00F8313F" w:rsidRDefault="00F8313F" w:rsidP="00CD6F54">
      <w:pPr>
        <w:jc w:val="both"/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>- Ronda 6: 17 de julio – 09:00 h</w:t>
      </w:r>
    </w:p>
    <w:p w14:paraId="1F992D8B" w14:textId="77777777" w:rsidR="008E0598" w:rsidRPr="00F8313F" w:rsidRDefault="00F8313F" w:rsidP="00CD6F54">
      <w:pPr>
        <w:jc w:val="both"/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>*Los horarios podrán modificarse en función de las necesidades de la organización.*</w:t>
      </w:r>
    </w:p>
    <w:p w14:paraId="5274F1E8" w14:textId="77777777" w:rsidR="008E0598" w:rsidRPr="00F8313F" w:rsidRDefault="00F8313F" w:rsidP="00CD6F54">
      <w:pPr>
        <w:pStyle w:val="Ttulo2"/>
        <w:rPr>
          <w:rFonts w:ascii="Arial" w:hAnsi="Arial" w:cs="Arial"/>
          <w:color w:val="auto"/>
          <w:sz w:val="24"/>
          <w:szCs w:val="24"/>
        </w:rPr>
      </w:pPr>
      <w:r w:rsidRPr="00F8313F">
        <w:rPr>
          <w:rFonts w:ascii="Arial" w:hAnsi="Arial" w:cs="Arial"/>
          <w:color w:val="auto"/>
          <w:sz w:val="24"/>
          <w:szCs w:val="24"/>
        </w:rPr>
        <w:t>4. Orden de fuerza</w:t>
      </w:r>
    </w:p>
    <w:p w14:paraId="6B7124E6" w14:textId="2584223E" w:rsidR="008E0598" w:rsidRPr="00F852E9" w:rsidRDefault="00F8313F" w:rsidP="00CD6F54">
      <w:pPr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>1. ELO internacional</w:t>
      </w:r>
      <w:r w:rsidRPr="00F8313F">
        <w:rPr>
          <w:rFonts w:ascii="Arial" w:hAnsi="Arial" w:cs="Arial"/>
          <w:sz w:val="24"/>
          <w:szCs w:val="24"/>
        </w:rPr>
        <w:br/>
        <w:t>2</w:t>
      </w:r>
      <w:r w:rsidRPr="00F852E9">
        <w:rPr>
          <w:rFonts w:ascii="Arial" w:hAnsi="Arial" w:cs="Arial"/>
          <w:sz w:val="24"/>
          <w:szCs w:val="24"/>
        </w:rPr>
        <w:t xml:space="preserve">. </w:t>
      </w:r>
      <w:r w:rsidR="00F852E9" w:rsidRPr="00F852E9">
        <w:rPr>
          <w:rFonts w:ascii="Arial" w:hAnsi="Arial" w:cs="Arial"/>
          <w:sz w:val="24"/>
          <w:szCs w:val="24"/>
        </w:rPr>
        <w:t>Alfabérico</w:t>
      </w:r>
    </w:p>
    <w:p w14:paraId="6EA180AA" w14:textId="77777777" w:rsidR="008E0598" w:rsidRPr="00F852E9" w:rsidRDefault="00F8313F" w:rsidP="00CD6F54">
      <w:pPr>
        <w:pStyle w:val="Ttulo2"/>
        <w:jc w:val="both"/>
        <w:rPr>
          <w:rFonts w:ascii="Arial" w:hAnsi="Arial" w:cs="Arial"/>
          <w:color w:val="auto"/>
          <w:sz w:val="24"/>
          <w:szCs w:val="24"/>
        </w:rPr>
      </w:pPr>
      <w:r w:rsidRPr="00F852E9">
        <w:rPr>
          <w:rFonts w:ascii="Arial" w:hAnsi="Arial" w:cs="Arial"/>
          <w:color w:val="auto"/>
          <w:sz w:val="24"/>
          <w:szCs w:val="24"/>
        </w:rPr>
        <w:t>5. Notación de las partidas</w:t>
      </w:r>
    </w:p>
    <w:p w14:paraId="44D1F65D" w14:textId="7A88BD65" w:rsidR="008E0598" w:rsidRPr="00F8313F" w:rsidRDefault="00F8313F" w:rsidP="00CD6F54">
      <w:pPr>
        <w:jc w:val="both"/>
        <w:rPr>
          <w:rFonts w:ascii="Arial" w:hAnsi="Arial" w:cs="Arial"/>
          <w:sz w:val="24"/>
          <w:szCs w:val="24"/>
        </w:rPr>
      </w:pPr>
      <w:r w:rsidRPr="00F852E9">
        <w:rPr>
          <w:rFonts w:ascii="Arial" w:hAnsi="Arial" w:cs="Arial"/>
          <w:sz w:val="24"/>
          <w:szCs w:val="24"/>
        </w:rPr>
        <w:t>Obligatoria en tinta, braille o sistema sonoro</w:t>
      </w:r>
      <w:r w:rsidR="00F852E9" w:rsidRPr="00F852E9">
        <w:rPr>
          <w:rFonts w:ascii="Arial" w:hAnsi="Arial" w:cs="Arial"/>
          <w:sz w:val="24"/>
          <w:szCs w:val="24"/>
        </w:rPr>
        <w:t>, hasta el final de la partida.</w:t>
      </w:r>
    </w:p>
    <w:p w14:paraId="45E52A52" w14:textId="77777777" w:rsidR="008E0598" w:rsidRPr="00F8313F" w:rsidRDefault="00F8313F" w:rsidP="00CD6F54">
      <w:pPr>
        <w:pStyle w:val="Ttulo2"/>
        <w:jc w:val="both"/>
        <w:rPr>
          <w:rFonts w:ascii="Arial" w:hAnsi="Arial" w:cs="Arial"/>
          <w:color w:val="auto"/>
          <w:sz w:val="24"/>
          <w:szCs w:val="24"/>
        </w:rPr>
      </w:pPr>
      <w:r w:rsidRPr="00F8313F">
        <w:rPr>
          <w:rFonts w:ascii="Arial" w:hAnsi="Arial" w:cs="Arial"/>
          <w:color w:val="auto"/>
          <w:sz w:val="24"/>
          <w:szCs w:val="24"/>
        </w:rPr>
        <w:lastRenderedPageBreak/>
        <w:t>6. Reglamentación</w:t>
      </w:r>
    </w:p>
    <w:p w14:paraId="03957225" w14:textId="77777777" w:rsidR="008E0598" w:rsidRPr="00F8313F" w:rsidRDefault="00F8313F" w:rsidP="00CD6F54">
      <w:pPr>
        <w:jc w:val="both"/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>El torneo será valedero para ELO FIDE y se regirá por las Leyes del Ajedrez, estas Bases y la reglamentación FIDE aplicable.</w:t>
      </w:r>
    </w:p>
    <w:p w14:paraId="1748AD91" w14:textId="77777777" w:rsidR="008E0598" w:rsidRPr="00F8313F" w:rsidRDefault="00F8313F" w:rsidP="00CD6F54">
      <w:pPr>
        <w:pStyle w:val="Ttulo2"/>
        <w:jc w:val="both"/>
        <w:rPr>
          <w:rFonts w:ascii="Arial" w:hAnsi="Arial" w:cs="Arial"/>
          <w:color w:val="auto"/>
          <w:sz w:val="24"/>
          <w:szCs w:val="24"/>
        </w:rPr>
      </w:pPr>
      <w:r w:rsidRPr="00F8313F">
        <w:rPr>
          <w:rFonts w:ascii="Arial" w:hAnsi="Arial" w:cs="Arial"/>
          <w:color w:val="auto"/>
          <w:sz w:val="24"/>
          <w:szCs w:val="24"/>
        </w:rPr>
        <w:t>7. Tolerancia</w:t>
      </w:r>
    </w:p>
    <w:p w14:paraId="5A374906" w14:textId="77777777" w:rsidR="008E0598" w:rsidRPr="00F8313F" w:rsidRDefault="00F8313F" w:rsidP="00CD6F54">
      <w:pPr>
        <w:jc w:val="both"/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>El tiempo de tolerancia al inicio de cada ronda será de 15 minutos.</w:t>
      </w:r>
    </w:p>
    <w:p w14:paraId="15F9519C" w14:textId="77777777" w:rsidR="008E0598" w:rsidRPr="00F8313F" w:rsidRDefault="00F8313F" w:rsidP="00CD6F54">
      <w:pPr>
        <w:pStyle w:val="Ttulo2"/>
        <w:jc w:val="both"/>
        <w:rPr>
          <w:rFonts w:ascii="Arial" w:hAnsi="Arial" w:cs="Arial"/>
          <w:color w:val="auto"/>
          <w:sz w:val="24"/>
          <w:szCs w:val="24"/>
        </w:rPr>
      </w:pPr>
      <w:r w:rsidRPr="00F8313F">
        <w:rPr>
          <w:rFonts w:ascii="Arial" w:hAnsi="Arial" w:cs="Arial"/>
          <w:color w:val="auto"/>
          <w:sz w:val="24"/>
          <w:szCs w:val="24"/>
        </w:rPr>
        <w:t>8. Incomparecencias</w:t>
      </w:r>
    </w:p>
    <w:p w14:paraId="18BC8CC4" w14:textId="77777777" w:rsidR="008E0598" w:rsidRPr="00F8313F" w:rsidRDefault="00F8313F" w:rsidP="00CD6F54">
      <w:pPr>
        <w:jc w:val="both"/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>Una incomparecencia injustificada antes del siguiente emparejamiento supondrá la exclusión. La incomparecencia en dos rondas supondrá también la exclusión.</w:t>
      </w:r>
    </w:p>
    <w:p w14:paraId="1470EC6F" w14:textId="77777777" w:rsidR="008E0598" w:rsidRPr="00F8313F" w:rsidRDefault="00F8313F" w:rsidP="00CD6F54">
      <w:pPr>
        <w:pStyle w:val="Ttulo2"/>
        <w:jc w:val="both"/>
        <w:rPr>
          <w:rFonts w:ascii="Arial" w:hAnsi="Arial" w:cs="Arial"/>
          <w:color w:val="auto"/>
          <w:sz w:val="24"/>
          <w:szCs w:val="24"/>
        </w:rPr>
      </w:pPr>
      <w:r w:rsidRPr="00F8313F">
        <w:rPr>
          <w:rFonts w:ascii="Arial" w:hAnsi="Arial" w:cs="Arial"/>
          <w:color w:val="auto"/>
          <w:sz w:val="24"/>
          <w:szCs w:val="24"/>
        </w:rPr>
        <w:t>9. Regla de Sofía</w:t>
      </w:r>
    </w:p>
    <w:p w14:paraId="4B2B1EC3" w14:textId="2B9977FB" w:rsidR="008E0598" w:rsidRPr="00F8313F" w:rsidRDefault="00F8313F" w:rsidP="00CD6F54">
      <w:pPr>
        <w:jc w:val="both"/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 xml:space="preserve">Prohibidos los acuerdos de tablas antes de la jugada </w:t>
      </w:r>
      <w:r w:rsidR="006B7712">
        <w:rPr>
          <w:rFonts w:ascii="Arial" w:hAnsi="Arial" w:cs="Arial"/>
          <w:sz w:val="24"/>
          <w:szCs w:val="24"/>
        </w:rPr>
        <w:t>2</w:t>
      </w:r>
      <w:r w:rsidRPr="00F8313F">
        <w:rPr>
          <w:rFonts w:ascii="Arial" w:hAnsi="Arial" w:cs="Arial"/>
          <w:sz w:val="24"/>
          <w:szCs w:val="24"/>
        </w:rPr>
        <w:t>0, salvo autorización arbitral.</w:t>
      </w:r>
    </w:p>
    <w:p w14:paraId="504800C5" w14:textId="77777777" w:rsidR="008E0598" w:rsidRPr="00F8313F" w:rsidRDefault="00F8313F" w:rsidP="00CD6F54">
      <w:pPr>
        <w:pStyle w:val="Ttulo2"/>
        <w:jc w:val="both"/>
        <w:rPr>
          <w:rFonts w:ascii="Arial" w:hAnsi="Arial" w:cs="Arial"/>
          <w:color w:val="auto"/>
          <w:sz w:val="24"/>
          <w:szCs w:val="24"/>
        </w:rPr>
      </w:pPr>
      <w:r w:rsidRPr="00F8313F">
        <w:rPr>
          <w:rFonts w:ascii="Arial" w:hAnsi="Arial" w:cs="Arial"/>
          <w:color w:val="auto"/>
          <w:sz w:val="24"/>
          <w:szCs w:val="24"/>
        </w:rPr>
        <w:t>10. Desempates</w:t>
      </w:r>
    </w:p>
    <w:p w14:paraId="75526EEA" w14:textId="77777777" w:rsidR="008E0598" w:rsidRPr="00F8313F" w:rsidRDefault="00F8313F" w:rsidP="00CD6F54">
      <w:pPr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>a) AOB</w:t>
      </w:r>
      <w:r w:rsidRPr="00F8313F">
        <w:rPr>
          <w:rFonts w:ascii="Arial" w:hAnsi="Arial" w:cs="Arial"/>
          <w:sz w:val="24"/>
          <w:szCs w:val="24"/>
        </w:rPr>
        <w:br/>
        <w:t>b) Número de victorias</w:t>
      </w:r>
      <w:r w:rsidRPr="00F8313F">
        <w:rPr>
          <w:rFonts w:ascii="Arial" w:hAnsi="Arial" w:cs="Arial"/>
          <w:sz w:val="24"/>
          <w:szCs w:val="24"/>
        </w:rPr>
        <w:br/>
        <w:t>c) Resultado particular</w:t>
      </w:r>
      <w:r w:rsidRPr="00F8313F">
        <w:rPr>
          <w:rFonts w:ascii="Arial" w:hAnsi="Arial" w:cs="Arial"/>
          <w:sz w:val="24"/>
          <w:szCs w:val="24"/>
        </w:rPr>
        <w:br/>
        <w:t>d) Buchholz Cut 1</w:t>
      </w:r>
      <w:r w:rsidRPr="00F8313F">
        <w:rPr>
          <w:rFonts w:ascii="Arial" w:hAnsi="Arial" w:cs="Arial"/>
          <w:sz w:val="24"/>
          <w:szCs w:val="24"/>
        </w:rPr>
        <w:br/>
        <w:t>e) Games One Elected to Play</w:t>
      </w:r>
    </w:p>
    <w:p w14:paraId="7675EFAE" w14:textId="77777777" w:rsidR="008E0598" w:rsidRPr="00F8313F" w:rsidRDefault="00F8313F" w:rsidP="00CD6F54">
      <w:pPr>
        <w:pStyle w:val="Ttulo2"/>
        <w:jc w:val="both"/>
        <w:rPr>
          <w:rFonts w:ascii="Arial" w:hAnsi="Arial" w:cs="Arial"/>
          <w:color w:val="auto"/>
          <w:sz w:val="24"/>
          <w:szCs w:val="24"/>
        </w:rPr>
      </w:pPr>
      <w:r w:rsidRPr="00F8313F">
        <w:rPr>
          <w:rFonts w:ascii="Arial" w:hAnsi="Arial" w:cs="Arial"/>
          <w:color w:val="auto"/>
          <w:sz w:val="24"/>
          <w:szCs w:val="24"/>
        </w:rPr>
        <w:t>11. Comité de Competición</w:t>
      </w:r>
    </w:p>
    <w:p w14:paraId="2578DCF9" w14:textId="77777777" w:rsidR="008E0598" w:rsidRPr="00F8313F" w:rsidRDefault="00F8313F" w:rsidP="00CD6F54">
      <w:pPr>
        <w:jc w:val="both"/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>Estará compuesto por el equipo técnico y un jugador mayor de edad elegido entre los participantes. Las reclamaciones deberán presentarse por escrito, dentro de una hora y con fianza de 50 euros.</w:t>
      </w:r>
    </w:p>
    <w:p w14:paraId="28C2128D" w14:textId="77777777" w:rsidR="008E0598" w:rsidRPr="00F8313F" w:rsidRDefault="00F8313F" w:rsidP="00CD6F54">
      <w:pPr>
        <w:pStyle w:val="Ttulo2"/>
        <w:jc w:val="both"/>
        <w:rPr>
          <w:rFonts w:ascii="Arial" w:hAnsi="Arial" w:cs="Arial"/>
          <w:color w:val="auto"/>
          <w:sz w:val="24"/>
          <w:szCs w:val="24"/>
        </w:rPr>
      </w:pPr>
      <w:r w:rsidRPr="00F8313F">
        <w:rPr>
          <w:rFonts w:ascii="Arial" w:hAnsi="Arial" w:cs="Arial"/>
          <w:color w:val="auto"/>
          <w:sz w:val="24"/>
          <w:szCs w:val="24"/>
        </w:rPr>
        <w:t>12. Clasificaciones y becas</w:t>
      </w:r>
    </w:p>
    <w:p w14:paraId="384E79C0" w14:textId="77777777" w:rsidR="008E0598" w:rsidRPr="00F8313F" w:rsidRDefault="00F8313F" w:rsidP="00CD6F54">
      <w:pPr>
        <w:jc w:val="both"/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>Campeón y Subcampeón obtendrán plaza para la fase final del siguiente Campeonato de España Individual. Los 6 primeros clasificados obtendrán plaza para los entrenamientos FEDC 2025/2026. Plazas nominativas y no delegables.</w:t>
      </w:r>
    </w:p>
    <w:p w14:paraId="35A17C03" w14:textId="77777777" w:rsidR="008E0598" w:rsidRPr="00F8313F" w:rsidRDefault="00F8313F" w:rsidP="00CD6F54">
      <w:pPr>
        <w:pStyle w:val="Ttulo2"/>
        <w:jc w:val="both"/>
        <w:rPr>
          <w:rFonts w:ascii="Arial" w:hAnsi="Arial" w:cs="Arial"/>
          <w:color w:val="auto"/>
          <w:sz w:val="24"/>
          <w:szCs w:val="24"/>
        </w:rPr>
      </w:pPr>
      <w:r w:rsidRPr="00F8313F">
        <w:rPr>
          <w:rFonts w:ascii="Arial" w:hAnsi="Arial" w:cs="Arial"/>
          <w:color w:val="auto"/>
          <w:sz w:val="24"/>
          <w:szCs w:val="24"/>
        </w:rPr>
        <w:t>13. Premios</w:t>
      </w:r>
    </w:p>
    <w:p w14:paraId="0F1F60F3" w14:textId="77777777" w:rsidR="008E0598" w:rsidRPr="00F8313F" w:rsidRDefault="00F8313F" w:rsidP="00CD6F54">
      <w:pPr>
        <w:jc w:val="both"/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>Trofeos para los tres primeros clasificados.</w:t>
      </w:r>
    </w:p>
    <w:p w14:paraId="41D7064C" w14:textId="77777777" w:rsidR="008E0598" w:rsidRPr="00F8313F" w:rsidRDefault="00F8313F" w:rsidP="00CD6F54">
      <w:pPr>
        <w:pStyle w:val="Ttulo2"/>
        <w:jc w:val="both"/>
        <w:rPr>
          <w:rFonts w:ascii="Arial" w:hAnsi="Arial" w:cs="Arial"/>
          <w:color w:val="auto"/>
          <w:sz w:val="24"/>
          <w:szCs w:val="24"/>
        </w:rPr>
      </w:pPr>
      <w:r w:rsidRPr="00F8313F">
        <w:rPr>
          <w:rFonts w:ascii="Arial" w:hAnsi="Arial" w:cs="Arial"/>
          <w:color w:val="auto"/>
          <w:sz w:val="24"/>
          <w:szCs w:val="24"/>
        </w:rPr>
        <w:t>14. Dispositivos electrónicos</w:t>
      </w:r>
    </w:p>
    <w:p w14:paraId="7119580A" w14:textId="1C1AD895" w:rsidR="008E0598" w:rsidRPr="00F8313F" w:rsidRDefault="00F8313F" w:rsidP="00CD6F54">
      <w:pPr>
        <w:jc w:val="both"/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 xml:space="preserve">Prohibido acceder con dispositivos electrónicos, salvo autorización </w:t>
      </w:r>
      <w:r w:rsidR="00F852E9">
        <w:rPr>
          <w:rFonts w:ascii="Arial" w:hAnsi="Arial" w:cs="Arial"/>
          <w:sz w:val="24"/>
          <w:szCs w:val="24"/>
        </w:rPr>
        <w:t xml:space="preserve">expresa </w:t>
      </w:r>
      <w:r w:rsidRPr="00F8313F">
        <w:rPr>
          <w:rFonts w:ascii="Arial" w:hAnsi="Arial" w:cs="Arial"/>
          <w:sz w:val="24"/>
          <w:szCs w:val="24"/>
        </w:rPr>
        <w:t>del árbitro</w:t>
      </w:r>
      <w:r w:rsidR="00F852E9">
        <w:rPr>
          <w:rFonts w:ascii="Arial" w:hAnsi="Arial" w:cs="Arial"/>
          <w:sz w:val="24"/>
          <w:szCs w:val="24"/>
        </w:rPr>
        <w:t xml:space="preserve"> por razones médicas o causa escepcional.</w:t>
      </w:r>
    </w:p>
    <w:p w14:paraId="74536DF1" w14:textId="77777777" w:rsidR="008E0598" w:rsidRPr="00F8313F" w:rsidRDefault="00F8313F" w:rsidP="00CD6F54">
      <w:pPr>
        <w:pStyle w:val="Ttulo2"/>
        <w:jc w:val="both"/>
        <w:rPr>
          <w:rFonts w:ascii="Arial" w:hAnsi="Arial" w:cs="Arial"/>
          <w:color w:val="auto"/>
          <w:sz w:val="24"/>
          <w:szCs w:val="24"/>
        </w:rPr>
      </w:pPr>
      <w:r w:rsidRPr="00F8313F">
        <w:rPr>
          <w:rFonts w:ascii="Arial" w:hAnsi="Arial" w:cs="Arial"/>
          <w:color w:val="auto"/>
          <w:sz w:val="24"/>
          <w:szCs w:val="24"/>
        </w:rPr>
        <w:t>15. Revisión de partidas</w:t>
      </w:r>
    </w:p>
    <w:p w14:paraId="3FADAF8F" w14:textId="77777777" w:rsidR="008E0598" w:rsidRPr="00F8313F" w:rsidRDefault="00F8313F" w:rsidP="00CD6F54">
      <w:pPr>
        <w:jc w:val="both"/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>Los jugadores deberán revisar sus partidas con el entrenador para su publicación.</w:t>
      </w:r>
    </w:p>
    <w:p w14:paraId="0534E847" w14:textId="77777777" w:rsidR="008E0598" w:rsidRPr="00F8313F" w:rsidRDefault="00F8313F" w:rsidP="00CD6F54">
      <w:pPr>
        <w:pStyle w:val="Ttulo2"/>
        <w:jc w:val="both"/>
        <w:rPr>
          <w:rFonts w:ascii="Arial" w:hAnsi="Arial" w:cs="Arial"/>
          <w:color w:val="auto"/>
          <w:sz w:val="24"/>
          <w:szCs w:val="24"/>
        </w:rPr>
      </w:pPr>
      <w:r w:rsidRPr="00F8313F">
        <w:rPr>
          <w:rFonts w:ascii="Arial" w:hAnsi="Arial" w:cs="Arial"/>
          <w:color w:val="auto"/>
          <w:sz w:val="24"/>
          <w:szCs w:val="24"/>
        </w:rPr>
        <w:lastRenderedPageBreak/>
        <w:t>16. Protección de datos</w:t>
      </w:r>
    </w:p>
    <w:p w14:paraId="59BFB1C6" w14:textId="77777777" w:rsidR="008E0598" w:rsidRPr="00F8313F" w:rsidRDefault="00F8313F" w:rsidP="00CD6F54">
      <w:pPr>
        <w:jc w:val="both"/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>Los participantes aceptan la publicación de sus datos con finalidad de difusión deportiva.</w:t>
      </w:r>
    </w:p>
    <w:p w14:paraId="2A13EBCC" w14:textId="77777777" w:rsidR="008E0598" w:rsidRPr="00F8313F" w:rsidRDefault="00F8313F" w:rsidP="00CD6F54">
      <w:pPr>
        <w:pStyle w:val="Ttulo2"/>
        <w:jc w:val="both"/>
        <w:rPr>
          <w:rFonts w:ascii="Arial" w:hAnsi="Arial" w:cs="Arial"/>
          <w:color w:val="auto"/>
          <w:sz w:val="24"/>
          <w:szCs w:val="24"/>
        </w:rPr>
      </w:pPr>
      <w:r w:rsidRPr="00F8313F">
        <w:rPr>
          <w:rFonts w:ascii="Arial" w:hAnsi="Arial" w:cs="Arial"/>
          <w:color w:val="auto"/>
          <w:sz w:val="24"/>
          <w:szCs w:val="24"/>
        </w:rPr>
        <w:t>17. Requisito de participación (Regla 90)</w:t>
      </w:r>
    </w:p>
    <w:p w14:paraId="5949B60B" w14:textId="77777777" w:rsidR="008E0598" w:rsidRPr="00F8313F" w:rsidRDefault="00F8313F" w:rsidP="00CD6F54">
      <w:pPr>
        <w:jc w:val="both"/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>Los/as jugadores/as que hayan participado en alguna edición anterior del Campeonato de España Juvenil deberán acreditar haber disputado al menos una prueba federada valedera para ELO en los 12 meses anteriores a la celebración del campeonato.</w:t>
      </w:r>
    </w:p>
    <w:p w14:paraId="7BD9A207" w14:textId="5E89DE96" w:rsidR="008E0598" w:rsidRPr="00F8313F" w:rsidRDefault="00F8313F" w:rsidP="00CD6F54">
      <w:pPr>
        <w:jc w:val="both"/>
        <w:rPr>
          <w:rFonts w:ascii="Arial" w:hAnsi="Arial" w:cs="Arial"/>
          <w:sz w:val="24"/>
          <w:szCs w:val="24"/>
        </w:rPr>
      </w:pPr>
      <w:r w:rsidRPr="00F8313F">
        <w:rPr>
          <w:rFonts w:ascii="Arial" w:hAnsi="Arial" w:cs="Arial"/>
          <w:sz w:val="24"/>
          <w:szCs w:val="24"/>
        </w:rPr>
        <w:t xml:space="preserve">En Madrid, a </w:t>
      </w:r>
      <w:r w:rsidR="006B7712">
        <w:rPr>
          <w:rFonts w:ascii="Arial" w:hAnsi="Arial" w:cs="Arial"/>
          <w:sz w:val="24"/>
          <w:szCs w:val="24"/>
        </w:rPr>
        <w:t>05</w:t>
      </w:r>
      <w:r w:rsidRPr="00F8313F">
        <w:rPr>
          <w:rFonts w:ascii="Arial" w:hAnsi="Arial" w:cs="Arial"/>
          <w:sz w:val="24"/>
          <w:szCs w:val="24"/>
        </w:rPr>
        <w:t xml:space="preserve"> de </w:t>
      </w:r>
      <w:r w:rsidR="006B7712">
        <w:rPr>
          <w:rFonts w:ascii="Arial" w:hAnsi="Arial" w:cs="Arial"/>
          <w:sz w:val="24"/>
          <w:szCs w:val="24"/>
        </w:rPr>
        <w:t>marzo</w:t>
      </w:r>
      <w:r w:rsidRPr="00F8313F">
        <w:rPr>
          <w:rFonts w:ascii="Arial" w:hAnsi="Arial" w:cs="Arial"/>
          <w:sz w:val="24"/>
          <w:szCs w:val="24"/>
        </w:rPr>
        <w:t xml:space="preserve"> de 2026</w:t>
      </w:r>
    </w:p>
    <w:sectPr w:rsidR="008E0598" w:rsidRPr="00F8313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91924459">
    <w:abstractNumId w:val="8"/>
  </w:num>
  <w:num w:numId="2" w16cid:durableId="258560492">
    <w:abstractNumId w:val="6"/>
  </w:num>
  <w:num w:numId="3" w16cid:durableId="17435512">
    <w:abstractNumId w:val="5"/>
  </w:num>
  <w:num w:numId="4" w16cid:durableId="1777289199">
    <w:abstractNumId w:val="4"/>
  </w:num>
  <w:num w:numId="5" w16cid:durableId="1415971828">
    <w:abstractNumId w:val="7"/>
  </w:num>
  <w:num w:numId="6" w16cid:durableId="395475089">
    <w:abstractNumId w:val="3"/>
  </w:num>
  <w:num w:numId="7" w16cid:durableId="347021907">
    <w:abstractNumId w:val="2"/>
  </w:num>
  <w:num w:numId="8" w16cid:durableId="409085514">
    <w:abstractNumId w:val="1"/>
  </w:num>
  <w:num w:numId="9" w16cid:durableId="224491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82223"/>
    <w:rsid w:val="006B7712"/>
    <w:rsid w:val="00833CA4"/>
    <w:rsid w:val="008E0598"/>
    <w:rsid w:val="00AA1D8D"/>
    <w:rsid w:val="00B47730"/>
    <w:rsid w:val="00CB0664"/>
    <w:rsid w:val="00CD6F54"/>
    <w:rsid w:val="00F826C6"/>
    <w:rsid w:val="00F8313F"/>
    <w:rsid w:val="00F852E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FB34DA"/>
  <w14:defaultImageDpi w14:val="300"/>
  <w15:docId w15:val="{110876BF-B2F3-4B3C-9A51-5EAF3D3E3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8196C5EBE0A74ABE7F8610C8ABF310" ma:contentTypeVersion="13" ma:contentTypeDescription="Crear nuevo documento." ma:contentTypeScope="" ma:versionID="35364102b46e3e8501d5dc0bd31b4fa0">
  <xsd:schema xmlns:xsd="http://www.w3.org/2001/XMLSchema" xmlns:xs="http://www.w3.org/2001/XMLSchema" xmlns:p="http://schemas.microsoft.com/office/2006/metadata/properties" xmlns:ns2="d929e907-6744-4de9-9752-7d33df7e6265" xmlns:ns3="10711ce1-4326-44f4-bece-d8adb8bfc369" targetNamespace="http://schemas.microsoft.com/office/2006/metadata/properties" ma:root="true" ma:fieldsID="9e83f17900714b05ea17461128ef351d" ns2:_="" ns3:_="">
    <xsd:import namespace="d929e907-6744-4de9-9752-7d33df7e6265"/>
    <xsd:import namespace="10711ce1-4326-44f4-bece-d8adb8bfc3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9e907-6744-4de9-9752-7d33df7e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44b3ed41-348c-4386-8a32-d3f52d4ffb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11ce1-4326-44f4-bece-d8adb8bfc36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7dddf17-a7b9-4d22-9189-1ef89576f565}" ma:internalName="TaxCatchAll" ma:showField="CatchAllData" ma:web="10711ce1-4326-44f4-bece-d8adb8bfc3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711ce1-4326-44f4-bece-d8adb8bfc369" xsi:nil="true"/>
    <lcf76f155ced4ddcb4097134ff3c332f xmlns="d929e907-6744-4de9-9752-7d33df7e62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1A84E7A-D565-413B-925E-001871F0EF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29e907-6744-4de9-9752-7d33df7e6265"/>
    <ds:schemaRef ds:uri="10711ce1-4326-44f4-bece-d8adb8bfc3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3CEECE-BEE9-406D-B1F5-B6FF60D3DC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449953-1D09-482C-835E-BF99096E1376}">
  <ds:schemaRefs>
    <ds:schemaRef ds:uri="http://schemas.microsoft.com/office/2006/metadata/properties"/>
    <ds:schemaRef ds:uri="http://schemas.microsoft.com/office/infopath/2007/PartnerControls"/>
    <ds:schemaRef ds:uri="10711ce1-4326-44f4-bece-d8adb8bfc369"/>
    <ds:schemaRef ds:uri="d929e907-6744-4de9-9752-7d33df7e6265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431</Words>
  <Characters>2375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2801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Martínez Rodríguez, Pablo</cp:lastModifiedBy>
  <cp:revision>4</cp:revision>
  <dcterms:created xsi:type="dcterms:W3CDTF">2026-02-26T12:07:00Z</dcterms:created>
  <dcterms:modified xsi:type="dcterms:W3CDTF">2026-03-05T10:44:00Z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0x010100358196C5EBE0A74ABE7F8610C8ABF310</vt:lpwstr>
  </property>
</Properties>
</file>